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192F"/>
          <w:sz w:val="40"/>
        </w:rPr>
        <w:t>ABILITIES FINANCE</w:t>
      </w:r>
    </w:p>
    <w:p>
      <w:pPr>
        <w:jc w:val="center"/>
      </w:pPr>
      <w:r>
        <w:rPr>
          <w:i/>
          <w:color w:val="D4AF37"/>
          <w:sz w:val="18"/>
        </w:rPr>
        <w:t>Internal Governance &amp; Operational Control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4AF37"/>
          <w:sz w:val="16"/>
        </w:rPr>
        <w:t>GOVERNANCE DOCUMENT 9 OF 9</w:t>
      </w:r>
    </w:p>
    <w:p>
      <w:r>
        <w:rPr>
          <w:b/>
          <w:color w:val="0A192F"/>
          <w:sz w:val="30"/>
        </w:rPr>
        <w:t>ACCESS-CONTROL POLICY</w:t>
      </w:r>
    </w:p>
    <w:p/>
    <w:p>
      <w:r>
        <w:rPr>
          <w:b/>
          <w:color w:val="D4AF37"/>
          <w:sz w:val="18"/>
        </w:rPr>
        <w:t xml:space="preserve">Policy Objective: </w:t>
      </w:r>
      <w:r>
        <w:rPr>
          <w:i/>
          <w:sz w:val="18"/>
        </w:rPr>
        <w:t>Governs internal security protocols for exchange accounts, bank accounts, document storage, and the website infrastructure.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/>
    <w:p>
      <w:pPr>
        <w:spacing w:after="80"/>
      </w:pPr>
      <w:r>
        <w:rPr>
          <w:b/>
          <w:color w:val="0A192F"/>
          <w:sz w:val="22"/>
        </w:rPr>
        <w:t>1. Authentication Requirements</w:t>
      </w:r>
    </w:p>
    <w:p>
      <w:pPr>
        <w:spacing w:after="40" w:before="0"/>
      </w:pPr>
      <w:r>
        <w:rPr>
          <w:sz w:val="20"/>
        </w:rPr>
        <w:t>Hardware-based Two-Factor Authentication (2FA) is required for all exchange accounts, bank portals, and document storage systems.</w:t>
      </w:r>
    </w:p>
    <w:p>
      <w:pPr>
        <w:spacing w:after="40" w:before="0"/>
      </w:pPr>
      <w:r>
        <w:rPr>
          <w:sz w:val="20"/>
        </w:rPr>
        <w:t>SMS-based 2FA is prohibited for financial accounts due to SIM-swap risks.</w:t>
      </w:r>
    </w:p>
    <w:p/>
    <w:p>
      <w:pPr>
        <w:spacing w:after="80"/>
      </w:pPr>
      <w:r>
        <w:rPr>
          <w:b/>
          <w:color w:val="0A192F"/>
          <w:sz w:val="22"/>
        </w:rPr>
        <w:t>2. Exchange Access</w:t>
      </w:r>
    </w:p>
    <w:p>
      <w:pPr>
        <w:spacing w:after="40" w:before="0"/>
      </w:pPr>
      <w:r>
        <w:rPr>
          <w:sz w:val="20"/>
        </w:rPr>
        <w:t>Master account credentials must be stored offline in a secure password manager.</w:t>
      </w:r>
    </w:p>
    <w:p>
      <w:pPr>
        <w:spacing w:after="40" w:before="0"/>
      </w:pPr>
      <w:r>
        <w:rPr>
          <w:sz w:val="20"/>
        </w:rPr>
        <w:t>Day-to-day trading must be conducted via restricted API keys or sub-accounts without withdrawal privileges.</w:t>
      </w:r>
    </w:p>
    <w:p/>
    <w:p>
      <w:pPr>
        <w:spacing w:after="80"/>
      </w:pPr>
      <w:r>
        <w:rPr>
          <w:b/>
          <w:color w:val="0A192F"/>
          <w:sz w:val="22"/>
        </w:rPr>
        <w:t>3. Website and Infrastructure</w:t>
      </w:r>
    </w:p>
    <w:p>
      <w:pPr>
        <w:spacing w:after="40" w:before="0"/>
      </w:pPr>
      <w:r>
        <w:rPr>
          <w:sz w:val="20"/>
        </w:rPr>
        <w:t>Access to the Abilities Finance web server and domain registrar is restricted to authorized personnel only.</w:t>
      </w:r>
    </w:p>
    <w:p>
      <w:pPr>
        <w:spacing w:after="40" w:before="0"/>
      </w:pPr>
      <w:r>
        <w:rPr>
          <w:sz w:val="20"/>
        </w:rPr>
        <w:t>All administrative access requires SSH key authentication; password-only access is disabled.</w:t>
      </w:r>
    </w:p>
    <w:p/>
    <w:p>
      <w:pPr>
        <w:spacing w:after="80"/>
      </w:pPr>
      <w:r>
        <w:rPr>
          <w:b/>
          <w:color w:val="0A192F"/>
          <w:sz w:val="22"/>
        </w:rPr>
        <w:t>4. Contingency Planning</w:t>
      </w:r>
    </w:p>
    <w:p>
      <w:pPr>
        <w:spacing w:after="40" w:before="0"/>
      </w:pPr>
      <w:r>
        <w:rPr>
          <w:sz w:val="20"/>
        </w:rPr>
        <w:t>A secure 'dead man's switch' protocol must be maintained to ensure a designated fiduciary can access accounts and return capital to lenders in the event of the Founder's incapacitation.</w:t>
      </w:r>
    </w:p>
    <w:p/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999999"/>
          <w:sz w:val="16"/>
        </w:rPr>
        <w:t>STRICTLY CONFIDENTIAL — Internal Use Only — Not for Public Distribution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