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7 OF 9</w:t>
      </w:r>
    </w:p>
    <w:p>
      <w:r>
        <w:rPr>
          <w:b/>
          <w:color w:val="0A192F"/>
          <w:sz w:val="30"/>
        </w:rPr>
        <w:t>WITHDRAWAL HANDLING PROCEDURE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Standardizes the processing of lender withdrawal requests to ensure liquidity management and accurate accounting.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Request Intake</w:t>
      </w:r>
    </w:p>
    <w:p>
      <w:pPr>
        <w:spacing w:after="40" w:before="0"/>
      </w:pPr>
      <w:r>
        <w:rPr>
          <w:sz w:val="20"/>
        </w:rPr>
        <w:t>All requests must be submitted via the official Withdrawal Request Form.</w:t>
      </w:r>
    </w:p>
    <w:p>
      <w:pPr>
        <w:spacing w:after="40" w:before="0"/>
      </w:pPr>
      <w:r>
        <w:rPr>
          <w:sz w:val="20"/>
        </w:rPr>
        <w:t>Informal requests (text, phone, email without the form) will not initiate the processing timeline.</w:t>
      </w:r>
    </w:p>
    <w:p/>
    <w:p>
      <w:pPr>
        <w:spacing w:after="80"/>
      </w:pPr>
      <w:r>
        <w:rPr>
          <w:b/>
          <w:color w:val="0A192F"/>
          <w:sz w:val="22"/>
        </w:rPr>
        <w:t>2. Liquidity Assessment</w:t>
      </w:r>
    </w:p>
    <w:p>
      <w:pPr>
        <w:spacing w:after="40" w:before="0"/>
      </w:pPr>
      <w:r>
        <w:rPr>
          <w:sz w:val="20"/>
        </w:rPr>
        <w:t>Determine if sufficient unencumbered capital exists to fund the request immediately.</w:t>
      </w:r>
    </w:p>
    <w:p>
      <w:pPr>
        <w:spacing w:after="40" w:before="0"/>
      </w:pPr>
      <w:r>
        <w:rPr>
          <w:sz w:val="20"/>
        </w:rPr>
        <w:t>If capital is locked in open positions, determine the orderly unwinding schedule to free the required funds without damaging pool performance.</w:t>
      </w:r>
    </w:p>
    <w:p/>
    <w:p>
      <w:pPr>
        <w:spacing w:after="80"/>
      </w:pPr>
      <w:r>
        <w:rPr>
          <w:b/>
          <w:color w:val="0A192F"/>
          <w:sz w:val="22"/>
        </w:rPr>
        <w:t>3. Processing Timeline</w:t>
      </w:r>
    </w:p>
    <w:p>
      <w:pPr>
        <w:spacing w:after="40" w:before="0"/>
      </w:pPr>
      <w:r>
        <w:rPr>
          <w:sz w:val="20"/>
        </w:rPr>
        <w:t>Standard processing: 3 to 7 business days.</w:t>
      </w:r>
    </w:p>
    <w:p>
      <w:pPr>
        <w:spacing w:after="40" w:before="0"/>
      </w:pPr>
      <w:r>
        <w:rPr>
          <w:sz w:val="20"/>
        </w:rPr>
        <w:t>Stressed market processing: Up to 30 days, as permitted by the Promissory Note.</w:t>
      </w:r>
    </w:p>
    <w:p/>
    <w:p>
      <w:pPr>
        <w:spacing w:after="80"/>
      </w:pPr>
      <w:r>
        <w:rPr>
          <w:b/>
          <w:color w:val="0A192F"/>
          <w:sz w:val="22"/>
        </w:rPr>
        <w:t>4. Execution and Confirmation</w:t>
      </w:r>
    </w:p>
    <w:p>
      <w:pPr>
        <w:spacing w:after="40" w:before="0"/>
      </w:pPr>
      <w:r>
        <w:rPr>
          <w:sz w:val="20"/>
        </w:rPr>
        <w:t>Funds are transferred via the method specified on the request form.</w:t>
      </w:r>
    </w:p>
    <w:p>
      <w:pPr>
        <w:spacing w:after="40" w:before="0"/>
      </w:pPr>
      <w:r>
        <w:rPr>
          <w:sz w:val="20"/>
        </w:rPr>
        <w:t>A Withdrawal Confirmation is issued immediately upon transfer, and the Lender's principal balance is updated in the ledger.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