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A192F"/>
          <w:sz w:val="40"/>
        </w:rPr>
        <w:t>ABILITIES FINANCE</w:t>
      </w:r>
    </w:p>
    <w:p>
      <w:pPr>
        <w:jc w:val="center"/>
      </w:pPr>
      <w:r>
        <w:rPr>
          <w:i/>
          <w:color w:val="D4AF37"/>
          <w:sz w:val="18"/>
        </w:rPr>
        <w:t>Internal Governance &amp; Operational Control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r>
        <w:rPr>
          <w:b/>
          <w:color w:val="D4AF37"/>
          <w:sz w:val="16"/>
        </w:rPr>
        <w:t>GOVERNANCE DOCUMENT 6 OF 9</w:t>
      </w:r>
    </w:p>
    <w:p>
      <w:r>
        <w:rPr>
          <w:b/>
          <w:color w:val="0A192F"/>
          <w:sz w:val="30"/>
        </w:rPr>
        <w:t>INCIDENT ESCALATION AND DISCLOSURE POLICY</w:t>
      </w:r>
    </w:p>
    <w:p/>
    <w:p>
      <w:r>
        <w:rPr>
          <w:b/>
          <w:color w:val="D4AF37"/>
          <w:sz w:val="18"/>
        </w:rPr>
        <w:t xml:space="preserve">Policy Objective: </w:t>
      </w:r>
      <w:r>
        <w:rPr>
          <w:i/>
          <w:sz w:val="18"/>
        </w:rPr>
        <w:t>Mandates the immediate internal escalation and external disclosure procedures for significant losses, exchange failures, or operational breaches.</w:t>
      </w:r>
    </w:p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/>
    <w:p>
      <w:pPr>
        <w:spacing w:after="80"/>
      </w:pPr>
      <w:r>
        <w:rPr>
          <w:b/>
          <w:color w:val="0A192F"/>
          <w:sz w:val="22"/>
        </w:rPr>
        <w:t>1. Definition of a Material Event</w:t>
      </w:r>
    </w:p>
    <w:p>
      <w:pPr>
        <w:spacing w:after="40" w:before="0"/>
      </w:pPr>
      <w:r>
        <w:rPr>
          <w:sz w:val="20"/>
        </w:rPr>
        <w:t>A realized loss exceeding 10% of the total pool in a single 24-hour period.</w:t>
      </w:r>
    </w:p>
    <w:p>
      <w:pPr>
        <w:spacing w:after="40" w:before="0"/>
      </w:pPr>
      <w:r>
        <w:rPr>
          <w:sz w:val="20"/>
        </w:rPr>
        <w:t>Any exchange outage lasting longer than 12 hours.</w:t>
      </w:r>
    </w:p>
    <w:p>
      <w:pPr>
        <w:spacing w:after="40" w:before="0"/>
      </w:pPr>
      <w:r>
        <w:rPr>
          <w:sz w:val="20"/>
        </w:rPr>
        <w:t>Any security breach, API compromise, or loss of access to funds.</w:t>
      </w:r>
    </w:p>
    <w:p/>
    <w:p>
      <w:pPr>
        <w:spacing w:after="80"/>
      </w:pPr>
      <w:r>
        <w:rPr>
          <w:b/>
          <w:color w:val="0A192F"/>
          <w:sz w:val="22"/>
        </w:rPr>
        <w:t>2. Immediate Action Protocol</w:t>
      </w:r>
    </w:p>
    <w:p>
      <w:pPr>
        <w:spacing w:after="40" w:before="0"/>
      </w:pPr>
      <w:r>
        <w:rPr>
          <w:sz w:val="20"/>
        </w:rPr>
        <w:t>Halt all new position entries.</w:t>
      </w:r>
    </w:p>
    <w:p>
      <w:pPr>
        <w:spacing w:after="40" w:before="0"/>
      </w:pPr>
      <w:r>
        <w:rPr>
          <w:sz w:val="20"/>
        </w:rPr>
        <w:t>Assess open positions and execute emergency risk-reduction if necessary.</w:t>
      </w:r>
    </w:p>
    <w:p>
      <w:pPr>
        <w:spacing w:after="40" w:before="0"/>
      </w:pPr>
      <w:r>
        <w:rPr>
          <w:sz w:val="20"/>
        </w:rPr>
        <w:t>Secure all accounts and revoke active API keys if a breach is suspected.</w:t>
      </w:r>
    </w:p>
    <w:p/>
    <w:p>
      <w:pPr>
        <w:spacing w:after="80"/>
      </w:pPr>
      <w:r>
        <w:rPr>
          <w:b/>
          <w:color w:val="0A192F"/>
          <w:sz w:val="22"/>
        </w:rPr>
        <w:t>3. Lender Disclosure Mandate</w:t>
      </w:r>
    </w:p>
    <w:p>
      <w:pPr>
        <w:spacing w:after="40" w:before="0"/>
      </w:pPr>
      <w:r>
        <w:rPr>
          <w:sz w:val="20"/>
        </w:rPr>
        <w:t>A Material Event Notice must be drafted and issued to all active lenders within 48 hours of the event's conclusion.</w:t>
      </w:r>
    </w:p>
    <w:p>
      <w:pPr>
        <w:spacing w:after="40" w:before="0"/>
      </w:pPr>
      <w:r>
        <w:rPr>
          <w:sz w:val="20"/>
        </w:rPr>
        <w:t>The notice must precede the standard monthly report.</w:t>
      </w:r>
    </w:p>
    <w:p>
      <w:pPr>
        <w:spacing w:after="40" w:before="0"/>
      </w:pPr>
      <w:r>
        <w:rPr>
          <w:sz w:val="20"/>
        </w:rPr>
        <w:t>The notice must detail the event, the financial impact, and the corrective actions taken.</w:t>
      </w:r>
    </w:p>
    <w:p/>
    <w:p>
      <w:pPr>
        <w:spacing w:after="80"/>
      </w:pPr>
      <w:r>
        <w:rPr>
          <w:b/>
          <w:color w:val="0A192F"/>
          <w:sz w:val="22"/>
        </w:rPr>
        <w:t>4. Post-Mortem Requirement</w:t>
      </w:r>
    </w:p>
    <w:p>
      <w:pPr>
        <w:spacing w:after="40" w:before="0"/>
      </w:pPr>
      <w:r>
        <w:rPr>
          <w:sz w:val="20"/>
        </w:rPr>
        <w:t>A formal internal post-mortem must be conducted within 7 days, resulting in an update to the Risk Governance Manual.</w:t>
      </w:r>
    </w:p>
    <w:p/>
    <w:p>
      <w:r>
        <w:t>────────────────────────────────────────────────────────────────────</w:t>
      </w:r>
    </w:p>
    <w:p>
      <w:pPr>
        <w:jc w:val="center"/>
      </w:pPr>
      <w:r>
        <w:rPr>
          <w:i/>
          <w:color w:val="999999"/>
          <w:sz w:val="16"/>
        </w:rPr>
        <w:t>STRICTLY CONFIDENTIAL — Internal Use Only — Not for Public Distribution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