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5 OF 9</w:t>
      </w:r>
    </w:p>
    <w:p>
      <w:r>
        <w:rPr>
          <w:b/>
          <w:color w:val="0A192F"/>
          <w:sz w:val="30"/>
        </w:rPr>
        <w:t>RISK GOVERNANCE MANUAL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Formalizes the internal risk controls, position sizing limits, and operational safeguards, including the specific governance changes instituted after the January 30, 2026 event.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Position Sizing Limits (Post-Jan 30 Protocol)</w:t>
      </w:r>
    </w:p>
    <w:p>
      <w:pPr>
        <w:spacing w:after="40" w:before="0"/>
      </w:pPr>
      <w:r>
        <w:rPr>
          <w:sz w:val="20"/>
        </w:rPr>
        <w:t>Maximum capital allocation per single asset: 15% of total pool.</w:t>
      </w:r>
    </w:p>
    <w:p>
      <w:pPr>
        <w:spacing w:after="40" w:before="0"/>
      </w:pPr>
      <w:r>
        <w:rPr>
          <w:sz w:val="20"/>
        </w:rPr>
        <w:t>Maximum leverage utilization: 3x (reduced from previous limits).</w:t>
      </w:r>
    </w:p>
    <w:p>
      <w:pPr>
        <w:spacing w:after="40" w:before="0"/>
      </w:pPr>
      <w:r>
        <w:rPr>
          <w:sz w:val="20"/>
        </w:rPr>
        <w:t>No single trade may risk more than 5% of total pool capital to a liquidation event.</w:t>
      </w:r>
    </w:p>
    <w:p/>
    <w:p>
      <w:pPr>
        <w:spacing w:after="80"/>
      </w:pPr>
      <w:r>
        <w:rPr>
          <w:b/>
          <w:color w:val="0A192F"/>
          <w:sz w:val="22"/>
        </w:rPr>
        <w:t>2. Stop-Loss Mandate</w:t>
      </w:r>
    </w:p>
    <w:p>
      <w:pPr>
        <w:spacing w:after="40" w:before="0"/>
      </w:pPr>
      <w:r>
        <w:rPr>
          <w:sz w:val="20"/>
        </w:rPr>
        <w:t>Hard stop-loss orders must be entered simultaneously with every opening order.</w:t>
      </w:r>
    </w:p>
    <w:p>
      <w:pPr>
        <w:spacing w:after="40" w:before="0"/>
      </w:pPr>
      <w:r>
        <w:rPr>
          <w:sz w:val="20"/>
        </w:rPr>
        <w:t>Mental stops or manual monitoring are no longer permitted as primary risk controls.</w:t>
      </w:r>
    </w:p>
    <w:p/>
    <w:p>
      <w:pPr>
        <w:spacing w:after="80"/>
      </w:pPr>
      <w:r>
        <w:rPr>
          <w:b/>
          <w:color w:val="0A192F"/>
          <w:sz w:val="22"/>
        </w:rPr>
        <w:t>3. Exchange Diversification</w:t>
      </w:r>
    </w:p>
    <w:p>
      <w:pPr>
        <w:spacing w:after="40" w:before="0"/>
      </w:pPr>
      <w:r>
        <w:rPr>
          <w:sz w:val="20"/>
        </w:rPr>
        <w:t>Capital must be distributed across a minimum of two top-tier exchanges to mitigate single-platform counterparty risk.</w:t>
      </w:r>
    </w:p>
    <w:p>
      <w:pPr>
        <w:spacing w:after="40" w:before="0"/>
      </w:pPr>
      <w:r>
        <w:rPr>
          <w:sz w:val="20"/>
        </w:rPr>
        <w:t>Cold storage must be utilized for capital not actively deployed in margin accounts.</w:t>
      </w:r>
    </w:p>
    <w:p/>
    <w:p>
      <w:pPr>
        <w:spacing w:after="80"/>
      </w:pPr>
      <w:r>
        <w:rPr>
          <w:b/>
          <w:color w:val="0A192F"/>
          <w:sz w:val="22"/>
        </w:rPr>
        <w:t>4. API and Access Security</w:t>
      </w:r>
    </w:p>
    <w:p>
      <w:pPr>
        <w:spacing w:after="40" w:before="0"/>
      </w:pPr>
      <w:r>
        <w:rPr>
          <w:sz w:val="20"/>
        </w:rPr>
        <w:t>Trading APIs must be restricted to specific IP addresses.</w:t>
      </w:r>
    </w:p>
    <w:p>
      <w:pPr>
        <w:spacing w:after="40" w:before="0"/>
      </w:pPr>
      <w:r>
        <w:rPr>
          <w:sz w:val="20"/>
        </w:rPr>
        <w:t>Withdrawal permissions via API are strictly prohibited.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