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A192F"/>
          <w:sz w:val="40"/>
        </w:rPr>
        <w:t>ABILITIES FINANCE</w:t>
      </w:r>
    </w:p>
    <w:p>
      <w:pPr>
        <w:jc w:val="center"/>
      </w:pPr>
      <w:r>
        <w:rPr>
          <w:i/>
          <w:color w:val="D4AF37"/>
          <w:sz w:val="18"/>
        </w:rPr>
        <w:t>Private Capital Arrangement — Ongoing Lender Reporting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b/>
          <w:color w:val="D4AF37"/>
          <w:sz w:val="16"/>
        </w:rPr>
        <w:t>REPORTING DOCUMENT 4 OF 8</w:t>
      </w:r>
    </w:p>
    <w:p>
      <w:r>
        <w:rPr>
          <w:b/>
          <w:color w:val="0A192F"/>
          <w:sz w:val="30"/>
        </w:rPr>
        <w:t>MATERIAL EVENT NOTICE</w:t>
      </w:r>
    </w:p>
    <w:p/>
    <w:p>
      <w:r>
        <w:rPr>
          <w:b/>
          <w:color w:val="D4AF37"/>
          <w:sz w:val="18"/>
        </w:rPr>
        <w:t xml:space="preserve">Purpose: </w:t>
      </w:r>
      <w:r>
        <w:rPr>
          <w:i/>
          <w:sz w:val="18"/>
        </w:rPr>
        <w:t>Fulfills the promise of proactive disclosure by notifying lenders immediately of significant losses, exchange issues, or operational failures before the standard monthly report.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/>
    <w:p>
      <w:pPr>
        <w:spacing w:after="80"/>
      </w:pPr>
      <w:r>
        <w:rPr>
          <w:b/>
          <w:color w:val="0A192F"/>
          <w:sz w:val="22"/>
        </w:rPr>
        <w:t>Notice Information</w:t>
      </w:r>
    </w:p>
    <w:p>
      <w:pPr>
        <w:spacing w:after="40" w:before="0"/>
      </w:pPr>
      <w:r>
        <w:rPr>
          <w:sz w:val="20"/>
        </w:rPr>
        <w:t>Date of Notice: ___________________</w:t>
      </w:r>
    </w:p>
    <w:p>
      <w:pPr>
        <w:spacing w:after="40" w:before="0"/>
      </w:pPr>
      <w:r>
        <w:rPr>
          <w:sz w:val="20"/>
        </w:rPr>
        <w:t>Event Date(s): ___________________</w:t>
      </w:r>
    </w:p>
    <w:p>
      <w:pPr>
        <w:spacing w:after="40" w:before="0"/>
      </w:pPr>
      <w:r>
        <w:rPr>
          <w:sz w:val="20"/>
        </w:rPr>
        <w:t>Severity Level: [ ] High  [ ] Critical</w:t>
      </w:r>
    </w:p>
    <w:p/>
    <w:p>
      <w:pPr>
        <w:spacing w:after="80"/>
      </w:pPr>
      <w:r>
        <w:rPr>
          <w:b/>
          <w:color w:val="0A192F"/>
          <w:sz w:val="22"/>
        </w:rPr>
        <w:t>Event Description</w:t>
      </w:r>
    </w:p>
    <w:p>
      <w:pPr>
        <w:spacing w:after="40" w:before="0"/>
      </w:pPr>
      <w:r>
        <w:rPr>
          <w:sz w:val="20"/>
        </w:rPr>
        <w:t>Description of the event (e.g., severe market drawdown, exchange outage, technical failure):</w:t>
      </w:r>
    </w:p>
    <w:p>
      <w:pPr>
        <w:spacing w:after="40" w:before="0"/>
      </w:pPr>
      <w:r>
        <w:rPr>
          <w:sz w:val="20"/>
        </w:rPr>
        <w:t>________________________________________________________________________________</w:t>
      </w:r>
    </w:p>
    <w:p>
      <w:pPr>
        <w:spacing w:after="40" w:before="0"/>
      </w:pPr>
      <w:r>
        <w:rPr>
          <w:sz w:val="20"/>
        </w:rPr>
        <w:t>________________________________________________________________________________</w:t>
      </w:r>
    </w:p>
    <w:p>
      <w:pPr>
        <w:spacing w:after="40" w:before="0"/>
      </w:pPr>
      <w:r>
        <w:rPr>
          <w:sz w:val="20"/>
        </w:rPr>
        <w:t>________________________________________________________________________________</w:t>
      </w:r>
    </w:p>
    <w:p/>
    <w:p>
      <w:pPr>
        <w:spacing w:after="80"/>
      </w:pPr>
      <w:r>
        <w:rPr>
          <w:b/>
          <w:color w:val="0A192F"/>
          <w:sz w:val="22"/>
        </w:rPr>
        <w:t>Impact on Trading Pool</w:t>
      </w:r>
    </w:p>
    <w:p>
      <w:pPr>
        <w:spacing w:after="40" w:before="0"/>
      </w:pPr>
      <w:r>
        <w:rPr>
          <w:sz w:val="20"/>
        </w:rPr>
        <w:t>Estimated financial impact or realized loss to the trading pool:</w:t>
      </w:r>
    </w:p>
    <w:p>
      <w:pPr>
        <w:spacing w:after="40" w:before="0"/>
      </w:pPr>
      <w:r>
        <w:rPr>
          <w:sz w:val="20"/>
        </w:rPr>
        <w:t>________________________________________________________________________________</w:t>
      </w:r>
    </w:p>
    <w:p>
      <w:pPr>
        <w:spacing w:after="40" w:before="0"/>
      </w:pPr>
      <w:r>
        <w:rPr>
          <w:sz w:val="20"/>
        </w:rPr>
        <w:t>________________________________________________________________________________</w:t>
      </w:r>
    </w:p>
    <w:p/>
    <w:p>
      <w:pPr>
        <w:spacing w:after="80"/>
      </w:pPr>
      <w:r>
        <w:rPr>
          <w:b/>
          <w:color w:val="0A192F"/>
          <w:sz w:val="22"/>
        </w:rPr>
        <w:t>Corrective Action Taken</w:t>
      </w:r>
    </w:p>
    <w:p>
      <w:pPr>
        <w:spacing w:after="40" w:before="0"/>
      </w:pPr>
      <w:r>
        <w:rPr>
          <w:sz w:val="20"/>
        </w:rPr>
        <w:t>Steps taken by Abilities Finance to mitigate further risk or resolve the issue:</w:t>
      </w:r>
    </w:p>
    <w:p>
      <w:pPr>
        <w:spacing w:after="40" w:before="0"/>
      </w:pPr>
      <w:r>
        <w:rPr>
          <w:sz w:val="20"/>
        </w:rPr>
        <w:t>________________________________________________________________________________</w:t>
      </w:r>
    </w:p>
    <w:p>
      <w:pPr>
        <w:spacing w:after="40" w:before="0"/>
      </w:pPr>
      <w:r>
        <w:rPr>
          <w:sz w:val="20"/>
        </w:rPr>
        <w:t>________________________________________________________________________________</w:t>
      </w:r>
    </w:p>
    <w:p/>
    <w:p>
      <w:pPr>
        <w:spacing w:after="80"/>
      </w:pPr>
      <w:r>
        <w:rPr>
          <w:b/>
          <w:color w:val="0A192F"/>
          <w:sz w:val="22"/>
        </w:rPr>
        <w:t>Next Steps for Lenders</w:t>
      </w:r>
    </w:p>
    <w:p>
      <w:pPr>
        <w:spacing w:after="40" w:before="0"/>
      </w:pPr>
      <w:r>
        <w:rPr>
          <w:sz w:val="20"/>
        </w:rPr>
        <w:t>Czar J. Kijana will be contacting each lender individually to discuss the impact on their specific Promissory Note. No action is required from you at this time.</w:t>
      </w:r>
    </w:p>
    <w:p/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i/>
          <w:color w:val="999999"/>
          <w:sz w:val="16"/>
        </w:rPr>
        <w:t>CONFIDENTIAL — Abilities Finance Private Capital Arrangement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