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4 OF 9</w:t>
      </w:r>
    </w:p>
    <w:p>
      <w:r>
        <w:rPr>
          <w:b/>
          <w:color w:val="0A192F"/>
          <w:sz w:val="30"/>
        </w:rPr>
        <w:t>INTERNAL TRACK-RECORD METHODOLOGY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Governs how trading performance is recorded, normalized, and reported to ensure the public track record remains strictly factual and defensible.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Data Integrity</w:t>
      </w:r>
    </w:p>
    <w:p>
      <w:pPr>
        <w:spacing w:after="40" w:before="0"/>
      </w:pPr>
      <w:r>
        <w:rPr>
          <w:sz w:val="20"/>
        </w:rPr>
        <w:t>All reported metrics must tie directly to exchange export data.</w:t>
      </w:r>
    </w:p>
    <w:p>
      <w:pPr>
        <w:spacing w:after="40" w:before="0"/>
      </w:pPr>
      <w:r>
        <w:rPr>
          <w:sz w:val="20"/>
        </w:rPr>
        <w:t>Manual adjustments to raw data are strictly prohibited unless documented as a normalization adjustment.</w:t>
      </w:r>
    </w:p>
    <w:p/>
    <w:p>
      <w:pPr>
        <w:spacing w:after="80"/>
      </w:pPr>
      <w:r>
        <w:rPr>
          <w:b/>
          <w:color w:val="0A192F"/>
          <w:sz w:val="22"/>
        </w:rPr>
        <w:t>2. Normalization Rules</w:t>
      </w:r>
    </w:p>
    <w:p>
      <w:pPr>
        <w:spacing w:after="40" w:before="0"/>
      </w:pPr>
      <w:r>
        <w:rPr>
          <w:sz w:val="20"/>
        </w:rPr>
        <w:t>The public track record uses a normalized $10,000 base to illustrate percentage returns without revealing total pool AUM.</w:t>
      </w:r>
    </w:p>
    <w:p>
      <w:pPr>
        <w:spacing w:after="40" w:before="0"/>
      </w:pPr>
      <w:r>
        <w:rPr>
          <w:sz w:val="20"/>
        </w:rPr>
        <w:t>The math used to convert raw P&amp;L to the normalized base must be documented and preserved for every reporting period.</w:t>
      </w:r>
    </w:p>
    <w:p/>
    <w:p>
      <w:pPr>
        <w:spacing w:after="80"/>
      </w:pPr>
      <w:r>
        <w:rPr>
          <w:b/>
          <w:color w:val="0A192F"/>
          <w:sz w:val="22"/>
        </w:rPr>
        <w:t>3. Win Rate Calculation</w:t>
      </w:r>
    </w:p>
    <w:p>
      <w:pPr>
        <w:spacing w:after="40" w:before="0"/>
      </w:pPr>
      <w:r>
        <w:rPr>
          <w:sz w:val="20"/>
        </w:rPr>
        <w:t>Win rate is calculated at the 'close level' (profitable closes vs. losing closes), not at the individual order level.</w:t>
      </w:r>
    </w:p>
    <w:p/>
    <w:p>
      <w:pPr>
        <w:spacing w:after="80"/>
      </w:pPr>
      <w:r>
        <w:rPr>
          <w:b/>
          <w:color w:val="0A192F"/>
          <w:sz w:val="22"/>
        </w:rPr>
        <w:t>4. Event Documentation</w:t>
      </w:r>
    </w:p>
    <w:p>
      <w:pPr>
        <w:spacing w:after="40" w:before="0"/>
      </w:pPr>
      <w:r>
        <w:rPr>
          <w:sz w:val="20"/>
        </w:rPr>
        <w:t>Any material drawdown or operational event (e.g., January 30, 2026) must remain permanently visible in the track record.</w:t>
      </w:r>
    </w:p>
    <w:p>
      <w:pPr>
        <w:spacing w:after="40" w:before="0"/>
      </w:pPr>
      <w:r>
        <w:rPr>
          <w:sz w:val="20"/>
        </w:rPr>
        <w:t>Sanitizing or removing historical losses is a violation of this policy.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