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3 OF 9</w:t>
      </w:r>
    </w:p>
    <w:p>
      <w:r>
        <w:rPr>
          <w:b/>
          <w:color w:val="0A192F"/>
          <w:sz w:val="30"/>
        </w:rPr>
        <w:t>PROFIT-SHARE CALCULATION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Establishes the exact mathematical procedures and timing for calculating the 80/20 profit split to ensure absolute accuracy and transparency.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Definition of Realized Profit</w:t>
      </w:r>
    </w:p>
    <w:p>
      <w:pPr>
        <w:spacing w:after="40" w:before="0"/>
      </w:pPr>
      <w:r>
        <w:rPr>
          <w:sz w:val="20"/>
        </w:rPr>
        <w:t>Profit is defined strictly as realized gains from closed trading positions.</w:t>
      </w:r>
    </w:p>
    <w:p>
      <w:pPr>
        <w:spacing w:after="40" w:before="0"/>
      </w:pPr>
      <w:r>
        <w:rPr>
          <w:sz w:val="20"/>
        </w:rPr>
        <w:t>Unrealized gains (paper profits on open positions) are never distributed or included in the 80/20 calculation.</w:t>
      </w:r>
    </w:p>
    <w:p/>
    <w:p>
      <w:pPr>
        <w:spacing w:after="80"/>
      </w:pPr>
      <w:r>
        <w:rPr>
          <w:b/>
          <w:color w:val="0A192F"/>
          <w:sz w:val="22"/>
        </w:rPr>
        <w:t>2. Calculation Methodology</w:t>
      </w:r>
    </w:p>
    <w:p>
      <w:pPr>
        <w:spacing w:after="40" w:before="0"/>
      </w:pPr>
      <w:r>
        <w:rPr>
          <w:sz w:val="20"/>
        </w:rPr>
        <w:t>Step 1: Determine Total Pool Realized Profit for the period.</w:t>
      </w:r>
    </w:p>
    <w:p>
      <w:pPr>
        <w:spacing w:after="40" w:before="0"/>
      </w:pPr>
      <w:r>
        <w:rPr>
          <w:sz w:val="20"/>
        </w:rPr>
        <w:t>Step 2: Determine Lender's Proportional Share (Lender Principal / Total Pool Capital).</w:t>
      </w:r>
    </w:p>
    <w:p>
      <w:pPr>
        <w:spacing w:after="40" w:before="0"/>
      </w:pPr>
      <w:r>
        <w:rPr>
          <w:sz w:val="20"/>
        </w:rPr>
        <w:t>Step 3: Calculate Gross Profit Share (Total Profit × Proportional Share).</w:t>
      </w:r>
    </w:p>
    <w:p>
      <w:pPr>
        <w:spacing w:after="40" w:before="0"/>
      </w:pPr>
      <w:r>
        <w:rPr>
          <w:sz w:val="20"/>
        </w:rPr>
        <w:t>Step 4: Apply 80/20 Split (80% to Lender, 20% retained by Abilities Finance).</w:t>
      </w:r>
    </w:p>
    <w:p/>
    <w:p>
      <w:pPr>
        <w:spacing w:after="80"/>
      </w:pPr>
      <w:r>
        <w:rPr>
          <w:b/>
          <w:color w:val="0A192F"/>
          <w:sz w:val="22"/>
        </w:rPr>
        <w:t>3. High-Water Mark / Drawdown Recovery</w:t>
      </w:r>
    </w:p>
    <w:p>
      <w:pPr>
        <w:spacing w:after="40" w:before="0"/>
      </w:pPr>
      <w:r>
        <w:rPr>
          <w:sz w:val="20"/>
        </w:rPr>
        <w:t>If the pool experiences a realized loss, no profit share is taken by Abilities Finance until the principal high-water mark is recovered.</w:t>
      </w:r>
    </w:p>
    <w:p>
      <w:pPr>
        <w:spacing w:after="40" w:before="0"/>
      </w:pPr>
      <w:r>
        <w:rPr>
          <w:sz w:val="20"/>
        </w:rPr>
        <w:t>All subsequent realized gains go 100% to recovering the principal before the 80/20 split resumes.</w:t>
      </w:r>
    </w:p>
    <w:p/>
    <w:p>
      <w:pPr>
        <w:spacing w:after="80"/>
      </w:pPr>
      <w:r>
        <w:rPr>
          <w:b/>
          <w:color w:val="0A192F"/>
          <w:sz w:val="22"/>
        </w:rPr>
        <w:t>4. Reporting</w:t>
      </w:r>
    </w:p>
    <w:p>
      <w:pPr>
        <w:spacing w:after="40" w:before="0"/>
      </w:pPr>
      <w:r>
        <w:rPr>
          <w:sz w:val="20"/>
        </w:rPr>
        <w:t>Every distribution or reinvestment must be accompanied by a Profit Share Calculation Statement showing the exact math.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