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Internal Governance &amp; Operational Control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GOVERNANCE DOCUMENT 2 OF 9</w:t>
      </w:r>
    </w:p>
    <w:p>
      <w:r>
        <w:rPr>
          <w:b/>
          <w:color w:val="0A192F"/>
          <w:sz w:val="30"/>
        </w:rPr>
        <w:t>NOTE PREPARATION AND EXECUTION SOP</w:t>
      </w:r>
    </w:p>
    <w:p/>
    <w:p>
      <w:r>
        <w:rPr>
          <w:b/>
          <w:color w:val="D4AF37"/>
          <w:sz w:val="18"/>
        </w:rPr>
        <w:t xml:space="preserve">Policy Objective: </w:t>
      </w:r>
      <w:r>
        <w:rPr>
          <w:i/>
          <w:sz w:val="18"/>
        </w:rPr>
        <w:t>Standard Operating Procedure for drafting, reviewing, and executing Promissory Notes to ensure legal consistency and operational control.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1. Document Generation</w:t>
      </w:r>
    </w:p>
    <w:p>
      <w:pPr>
        <w:spacing w:after="40" w:before="0"/>
      </w:pPr>
      <w:r>
        <w:rPr>
          <w:sz w:val="20"/>
        </w:rPr>
        <w:t>All Promissory Notes must be generated using the approved Abilities Finance template governed by Wyoming law.</w:t>
      </w:r>
    </w:p>
    <w:p>
      <w:pPr>
        <w:spacing w:after="40" w:before="0"/>
      </w:pPr>
      <w:r>
        <w:rPr>
          <w:sz w:val="20"/>
        </w:rPr>
        <w:t>No custom terms, guarantees, or side letters may be added without formal legal review.</w:t>
      </w:r>
    </w:p>
    <w:p/>
    <w:p>
      <w:pPr>
        <w:spacing w:after="80"/>
      </w:pPr>
      <w:r>
        <w:rPr>
          <w:b/>
          <w:color w:val="0A192F"/>
          <w:sz w:val="22"/>
        </w:rPr>
        <w:t>2. Required Addenda</w:t>
      </w:r>
    </w:p>
    <w:p>
      <w:pPr>
        <w:spacing w:after="40" w:before="0"/>
      </w:pPr>
      <w:r>
        <w:rPr>
          <w:sz w:val="20"/>
        </w:rPr>
        <w:t>Every Note must be accompanied by:</w:t>
      </w:r>
    </w:p>
    <w:p>
      <w:pPr>
        <w:spacing w:after="40" w:before="0"/>
      </w:pPr>
      <w:r>
        <w:rPr>
          <w:sz w:val="20"/>
        </w:rPr>
        <w:t xml:space="preserve">  a) Risk Acknowledgment Addendum</w:t>
      </w:r>
    </w:p>
    <w:p>
      <w:pPr>
        <w:spacing w:after="40" w:before="0"/>
      </w:pPr>
      <w:r>
        <w:rPr>
          <w:sz w:val="20"/>
        </w:rPr>
        <w:t xml:space="preserve">  b) Attorney Review Acknowledgment</w:t>
      </w:r>
    </w:p>
    <w:p>
      <w:pPr>
        <w:spacing w:after="40" w:before="0"/>
      </w:pPr>
      <w:r>
        <w:rPr>
          <w:sz w:val="20"/>
        </w:rPr>
        <w:t xml:space="preserve">  c) Communications Consent</w:t>
      </w:r>
    </w:p>
    <w:p/>
    <w:p>
      <w:pPr>
        <w:spacing w:after="80"/>
      </w:pPr>
      <w:r>
        <w:rPr>
          <w:b/>
          <w:color w:val="0A192F"/>
          <w:sz w:val="22"/>
        </w:rPr>
        <w:t>3. Execution Sequence</w:t>
      </w:r>
    </w:p>
    <w:p>
      <w:pPr>
        <w:spacing w:after="40" w:before="0"/>
      </w:pPr>
      <w:r>
        <w:rPr>
          <w:sz w:val="20"/>
        </w:rPr>
        <w:t>Step 1: Lender reviews all documents and completes the Conversation Prep Sheet.</w:t>
      </w:r>
    </w:p>
    <w:p>
      <w:pPr>
        <w:spacing w:after="40" w:before="0"/>
      </w:pPr>
      <w:r>
        <w:rPr>
          <w:sz w:val="20"/>
        </w:rPr>
        <w:t>Step 2: Private conversation held between Czar J. Kijana and Lender.</w:t>
      </w:r>
    </w:p>
    <w:p>
      <w:pPr>
        <w:spacing w:after="40" w:before="0"/>
      </w:pPr>
      <w:r>
        <w:rPr>
          <w:sz w:val="20"/>
        </w:rPr>
        <w:t>Step 3: Lender signs the Promissory Note and all Addenda.</w:t>
      </w:r>
    </w:p>
    <w:p>
      <w:pPr>
        <w:spacing w:after="40" w:before="0"/>
      </w:pPr>
      <w:r>
        <w:rPr>
          <w:sz w:val="20"/>
        </w:rPr>
        <w:t>Step 4: Czar J. Kijana countersigns the Note.</w:t>
      </w:r>
    </w:p>
    <w:p>
      <w:pPr>
        <w:spacing w:after="40" w:before="0"/>
      </w:pPr>
      <w:r>
        <w:rPr>
          <w:sz w:val="20"/>
        </w:rPr>
        <w:t>Step 5: Capital Transfer Instructions are issued ONLY after full execution.</w:t>
      </w:r>
    </w:p>
    <w:p/>
    <w:p>
      <w:pPr>
        <w:spacing w:after="80"/>
      </w:pPr>
      <w:r>
        <w:rPr>
          <w:b/>
          <w:color w:val="0A192F"/>
          <w:sz w:val="22"/>
        </w:rPr>
        <w:t>4. Capital Receipt</w:t>
      </w:r>
    </w:p>
    <w:p>
      <w:pPr>
        <w:spacing w:after="40" w:before="0"/>
      </w:pPr>
      <w:r>
        <w:rPr>
          <w:sz w:val="20"/>
        </w:rPr>
        <w:t>Upon clearing of funds, a Capital Receipt Confirmation is issued, establishing the official start date for profit-sharing calculations.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STRICTLY CONFIDENTIAL — Internal Use Only — Not for Public Distribution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